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EBA" w:rsidRDefault="00B16483" w:rsidP="000C2CEE">
      <w:pPr>
        <w:spacing w:after="0" w:line="240" w:lineRule="auto"/>
        <w:jc w:val="center"/>
      </w:pPr>
      <w:r>
        <w:t>Assessment Committee</w:t>
      </w:r>
      <w:r w:rsidR="00E757B7">
        <w:t xml:space="preserve"> Minutes</w:t>
      </w:r>
    </w:p>
    <w:p w:rsidR="00B16483" w:rsidRDefault="001F0D70" w:rsidP="000C2CEE">
      <w:pPr>
        <w:spacing w:after="0" w:line="240" w:lineRule="auto"/>
        <w:jc w:val="center"/>
      </w:pPr>
      <w:r>
        <w:t>April 2</w:t>
      </w:r>
      <w:r w:rsidR="00327ECB">
        <w:t>, 2020</w:t>
      </w:r>
    </w:p>
    <w:p w:rsidR="00B16483" w:rsidRDefault="001F0D70" w:rsidP="000C2CEE">
      <w:pPr>
        <w:spacing w:after="0" w:line="240" w:lineRule="auto"/>
        <w:jc w:val="center"/>
      </w:pPr>
      <w:r>
        <w:t>11:45</w:t>
      </w:r>
    </w:p>
    <w:p w:rsidR="00B16483" w:rsidRDefault="00B16483">
      <w:r>
        <w:t>Members</w:t>
      </w:r>
      <w:r w:rsidR="00E757B7">
        <w:t xml:space="preserve"> in attendance</w:t>
      </w:r>
      <w:r>
        <w:t>: Cassie Firth, Lisa Nordquist,</w:t>
      </w:r>
      <w:r w:rsidR="00327ECB">
        <w:t xml:space="preserve"> Dee Cooper, Darrell Frost, Cathy Moore, </w:t>
      </w:r>
      <w:r>
        <w:t>Jeff Tate,</w:t>
      </w:r>
      <w:r w:rsidR="00706251">
        <w:t xml:space="preserve"> </w:t>
      </w:r>
      <w:r w:rsidR="00327ECB">
        <w:t xml:space="preserve">Alyce Webb, Edward Dixon, </w:t>
      </w:r>
      <w:r w:rsidR="00E401A6">
        <w:t>Kathleen Otto</w:t>
      </w:r>
      <w:r w:rsidR="001F0D70">
        <w:t xml:space="preserve">, Kathleen Swain, Stephanie Bundy, </w:t>
      </w:r>
      <w:r w:rsidR="00A74870">
        <w:t xml:space="preserve">Elaine Briggs, </w:t>
      </w:r>
    </w:p>
    <w:p w:rsidR="00B16483" w:rsidRDefault="00B16483">
      <w:r>
        <w:t>Ex-Officio</w:t>
      </w:r>
      <w:r w:rsidR="00E757B7">
        <w:t xml:space="preserve"> in attendance</w:t>
      </w:r>
      <w:r>
        <w:t>:  Pamela Stinson, Rick Edgington</w:t>
      </w:r>
      <w:r w:rsidR="00A74870">
        <w:t>, Raydon Leaton</w:t>
      </w:r>
    </w:p>
    <w:p w:rsidR="000C2CEE" w:rsidRDefault="000C2CEE">
      <w:r>
        <w:t>Guest</w:t>
      </w:r>
      <w:r w:rsidR="00706251">
        <w:t>/</w:t>
      </w:r>
      <w:r>
        <w:t>Chairs</w:t>
      </w:r>
      <w:r w:rsidR="00E757B7">
        <w:t xml:space="preserve"> in attendance</w:t>
      </w:r>
      <w:r>
        <w:t xml:space="preserve">:  </w:t>
      </w:r>
      <w:r w:rsidR="00B16483">
        <w:t>Tricia Moore, Suzi Brown, Cammy Fast</w:t>
      </w:r>
      <w:r w:rsidR="00327ECB">
        <w:t xml:space="preserve">, </w:t>
      </w:r>
      <w:r w:rsidR="004153D7">
        <w:t>CaraBeth</w:t>
      </w:r>
      <w:r w:rsidR="00327ECB">
        <w:t xml:space="preserve"> Johnson, Frankie WoodBlack</w:t>
      </w:r>
    </w:p>
    <w:p w:rsidR="000C2CEE" w:rsidRDefault="000C2CEE">
      <w:r>
        <w:t>Agenda</w:t>
      </w:r>
    </w:p>
    <w:p w:rsidR="00BC7AC6" w:rsidRDefault="00287EE2" w:rsidP="00BC7AC6">
      <w:pPr>
        <w:pStyle w:val="ListParagraph"/>
        <w:numPr>
          <w:ilvl w:val="0"/>
          <w:numId w:val="1"/>
        </w:numPr>
      </w:pPr>
      <w:r>
        <w:t xml:space="preserve">Review of </w:t>
      </w:r>
      <w:r w:rsidR="00A74870">
        <w:t>Course Evaluation Tool</w:t>
      </w:r>
    </w:p>
    <w:p w:rsidR="002B60EB" w:rsidRDefault="002B60EB" w:rsidP="002B60EB">
      <w:pPr>
        <w:pStyle w:val="ListParagraph"/>
        <w:numPr>
          <w:ilvl w:val="0"/>
          <w:numId w:val="4"/>
        </w:numPr>
        <w:rPr>
          <w:color w:val="C45911" w:themeColor="accent2" w:themeShade="BF"/>
        </w:rPr>
      </w:pPr>
      <w:r w:rsidRPr="002B60EB">
        <w:rPr>
          <w:color w:val="C45911" w:themeColor="accent2" w:themeShade="BF"/>
        </w:rPr>
        <w:t>Changes were discussed on</w:t>
      </w:r>
      <w:bookmarkStart w:id="0" w:name="_Hlk38435711"/>
      <w:bookmarkStart w:id="1" w:name="_GoBack"/>
      <w:r w:rsidRPr="002B60EB">
        <w:rPr>
          <w:color w:val="C45911" w:themeColor="accent2" w:themeShade="BF"/>
        </w:rPr>
        <w:t xml:space="preserve"> question 2.16 (</w:t>
      </w:r>
      <w:r w:rsidRPr="002B60EB">
        <w:rPr>
          <w:rFonts w:ascii="ArialMT-Identity-H" w:hAnsi="ArialMT-Identity-H" w:cs="ArialMT-Identity-H"/>
          <w:color w:val="C45911" w:themeColor="accent2" w:themeShade="BF"/>
          <w:sz w:val="20"/>
          <w:szCs w:val="20"/>
        </w:rPr>
        <w:t xml:space="preserve">What do you like least about this course and what improvements would you suggest?) </w:t>
      </w:r>
      <w:bookmarkEnd w:id="0"/>
      <w:bookmarkEnd w:id="1"/>
      <w:r w:rsidRPr="002B60EB">
        <w:rPr>
          <w:color w:val="C45911" w:themeColor="accent2" w:themeShade="BF"/>
        </w:rPr>
        <w:t>and whether the question should be split to create two questions or to be left as one question.  It was suggested that splitting the question in two would encourage students to answer both questions instead of answering the first part of the question and moving on.  However, it was also suggested that splitting the question into two would make for a longer survey that might result in students moving through the questions faster in order to get done faster.  The question will be sent out for a vote to the entire committee.</w:t>
      </w:r>
    </w:p>
    <w:p w:rsidR="000E4A73" w:rsidRPr="000E4A73" w:rsidRDefault="000E4A73" w:rsidP="000E4A73">
      <w:pPr>
        <w:ind w:left="2160"/>
        <w:rPr>
          <w:color w:val="538135" w:themeColor="accent6" w:themeShade="BF"/>
        </w:rPr>
      </w:pPr>
      <w:bookmarkStart w:id="2" w:name="_Hlk38435399"/>
      <w:r w:rsidRPr="000E4A73">
        <w:rPr>
          <w:color w:val="538135" w:themeColor="accent6" w:themeShade="BF"/>
        </w:rPr>
        <w:t xml:space="preserve">The vote </w:t>
      </w:r>
      <w:r w:rsidR="00403D4F">
        <w:rPr>
          <w:color w:val="538135" w:themeColor="accent6" w:themeShade="BF"/>
        </w:rPr>
        <w:t>results were</w:t>
      </w:r>
      <w:r w:rsidRPr="000E4A73">
        <w:rPr>
          <w:color w:val="538135" w:themeColor="accent6" w:themeShade="BF"/>
        </w:rPr>
        <w:t xml:space="preserve"> to split the question.</w:t>
      </w:r>
      <w:bookmarkEnd w:id="2"/>
      <w:r w:rsidRPr="000E4A73">
        <w:rPr>
          <w:color w:val="538135" w:themeColor="accent6" w:themeShade="BF"/>
        </w:rPr>
        <w:t xml:space="preserve">  The online committee voted to split the question and ten of the members plus guests voted to split the questions (7 of the members voted to split, 3 did not vote and 3 voted for the question to remain the same).  The question will be split and reevaluated after a year of data collection.</w:t>
      </w:r>
    </w:p>
    <w:p w:rsidR="002B60EB" w:rsidRDefault="002B60EB" w:rsidP="002B60EB">
      <w:pPr>
        <w:pStyle w:val="ListParagraph"/>
        <w:numPr>
          <w:ilvl w:val="0"/>
          <w:numId w:val="4"/>
        </w:numPr>
        <w:rPr>
          <w:color w:val="C45911" w:themeColor="accent2" w:themeShade="BF"/>
        </w:rPr>
      </w:pPr>
      <w:bookmarkStart w:id="3" w:name="_Hlk38435659"/>
      <w:r w:rsidRPr="002B60EB">
        <w:rPr>
          <w:color w:val="C45911" w:themeColor="accent2" w:themeShade="BF"/>
        </w:rPr>
        <w:t xml:space="preserve">On the online form, it was suggested to remove the wording “outside of this class” from question 1.5 </w:t>
      </w:r>
      <w:r w:rsidR="00253DF1">
        <w:rPr>
          <w:color w:val="C45911" w:themeColor="accent2" w:themeShade="BF"/>
        </w:rPr>
        <w:t>(</w:t>
      </w:r>
      <w:r w:rsidR="00CF7CC3" w:rsidRPr="00CF7CC3">
        <w:rPr>
          <w:rFonts w:ascii="ArialMT" w:hAnsi="ArialMT" w:cs="ArialMT"/>
          <w:color w:val="C45911" w:themeColor="accent2" w:themeShade="BF"/>
          <w:sz w:val="20"/>
          <w:szCs w:val="20"/>
        </w:rPr>
        <w:t xml:space="preserve">I have spent _______ hours a week doing course work outside of this class.) </w:t>
      </w:r>
      <w:r w:rsidRPr="00CF7CC3">
        <w:rPr>
          <w:color w:val="C45911" w:themeColor="accent2" w:themeShade="BF"/>
        </w:rPr>
        <w:t>since for s</w:t>
      </w:r>
      <w:r w:rsidRPr="002B60EB">
        <w:rPr>
          <w:color w:val="C45911" w:themeColor="accent2" w:themeShade="BF"/>
        </w:rPr>
        <w:t>ome online classes students would do all their work “outside of class”.  The suggestion will be sent to the online committee for their feedback</w:t>
      </w:r>
      <w:r>
        <w:rPr>
          <w:color w:val="C45911" w:themeColor="accent2" w:themeShade="BF"/>
        </w:rPr>
        <w:t xml:space="preserve"> on the change (note: </w:t>
      </w:r>
      <w:r w:rsidR="00A83701">
        <w:rPr>
          <w:color w:val="C45911" w:themeColor="accent2" w:themeShade="BF"/>
        </w:rPr>
        <w:t>The</w:t>
      </w:r>
      <w:r>
        <w:rPr>
          <w:color w:val="C45911" w:themeColor="accent2" w:themeShade="BF"/>
        </w:rPr>
        <w:t xml:space="preserve"> Online Committee has already reviewed the two documents with no suggested changes)</w:t>
      </w:r>
      <w:r w:rsidRPr="002B60EB">
        <w:rPr>
          <w:color w:val="C45911" w:themeColor="accent2" w:themeShade="BF"/>
        </w:rPr>
        <w:t>.</w:t>
      </w:r>
    </w:p>
    <w:p w:rsidR="000E4A73" w:rsidRPr="000E4A73" w:rsidRDefault="000E4A73" w:rsidP="000E4A73">
      <w:pPr>
        <w:ind w:left="2160"/>
        <w:rPr>
          <w:color w:val="538135" w:themeColor="accent6" w:themeShade="BF"/>
        </w:rPr>
      </w:pPr>
      <w:r w:rsidRPr="000E4A73">
        <w:rPr>
          <w:color w:val="538135" w:themeColor="accent6" w:themeShade="BF"/>
        </w:rPr>
        <w:t>Online committee suggested changing the question to state, “</w:t>
      </w:r>
      <w:r w:rsidRPr="000E4A73">
        <w:rPr>
          <w:rFonts w:ascii="Arial" w:hAnsi="Arial" w:cs="Arial"/>
          <w:color w:val="538135" w:themeColor="accent6" w:themeShade="BF"/>
        </w:rPr>
        <w:t>How much time do you spend per week to complete course requirements?</w:t>
      </w:r>
      <w:r w:rsidRPr="000E4A73">
        <w:rPr>
          <w:rFonts w:ascii="Arial" w:hAnsi="Arial" w:cs="Arial"/>
          <w:color w:val="538135" w:themeColor="accent6" w:themeShade="BF"/>
        </w:rPr>
        <w:t>”</w:t>
      </w:r>
    </w:p>
    <w:bookmarkEnd w:id="3"/>
    <w:p w:rsidR="006D1870" w:rsidRPr="006D1870" w:rsidRDefault="006D1870" w:rsidP="00287EE2">
      <w:pPr>
        <w:pStyle w:val="ListParagraph"/>
        <w:ind w:left="1080"/>
        <w:rPr>
          <w:color w:val="833C0B" w:themeColor="accent2" w:themeShade="80"/>
        </w:rPr>
      </w:pPr>
    </w:p>
    <w:p w:rsidR="00FF3B70" w:rsidRDefault="00287EE2" w:rsidP="00287EE2">
      <w:pPr>
        <w:pStyle w:val="ListParagraph"/>
        <w:numPr>
          <w:ilvl w:val="0"/>
          <w:numId w:val="1"/>
        </w:numPr>
      </w:pPr>
      <w:r>
        <w:t>Co</w:t>
      </w:r>
      <w:r w:rsidR="00582A9B">
        <w:t>-</w:t>
      </w:r>
      <w:r>
        <w:t>curricular Assessment</w:t>
      </w:r>
      <w:r w:rsidR="00A74870">
        <w:t xml:space="preserve"> - Definition</w:t>
      </w:r>
    </w:p>
    <w:p w:rsidR="00B16483" w:rsidRPr="00C42BDA" w:rsidRDefault="00A74870" w:rsidP="00FF3B70">
      <w:pPr>
        <w:pStyle w:val="ListParagraph"/>
        <w:ind w:left="1080"/>
        <w:rPr>
          <w:sz w:val="24"/>
        </w:rPr>
      </w:pPr>
      <w:r w:rsidRPr="00C42BDA">
        <w:rPr>
          <w:sz w:val="24"/>
        </w:rPr>
        <w:t>Examples of co-curricular definitions</w:t>
      </w:r>
    </w:p>
    <w:p w:rsidR="00F4443B" w:rsidRPr="00C42BDA" w:rsidRDefault="00A74870" w:rsidP="00F4443B">
      <w:pPr>
        <w:pStyle w:val="ListParagraph"/>
        <w:numPr>
          <w:ilvl w:val="0"/>
          <w:numId w:val="3"/>
        </w:numPr>
        <w:rPr>
          <w:sz w:val="24"/>
        </w:rPr>
      </w:pPr>
      <w:r w:rsidRPr="00C42BDA">
        <w:rPr>
          <w:sz w:val="24"/>
        </w:rPr>
        <w:t xml:space="preserve">Co-curricular activities and experiences are learning </w:t>
      </w:r>
      <w:r w:rsidR="00F4443B" w:rsidRPr="00C42BDA">
        <w:rPr>
          <w:sz w:val="24"/>
        </w:rPr>
        <w:t>opportunities</w:t>
      </w:r>
      <w:r w:rsidRPr="00C42BDA">
        <w:rPr>
          <w:sz w:val="24"/>
        </w:rPr>
        <w:t xml:space="preserve"> that happen outside of the classroom and contribute to the WHOLE student experience.  We assess them to understand how we are fostering the overall transformation of each student.</w:t>
      </w:r>
    </w:p>
    <w:p w:rsidR="00F4443B" w:rsidRPr="00C42BDA" w:rsidRDefault="00F4443B" w:rsidP="00F4443B">
      <w:pPr>
        <w:pStyle w:val="ListParagraph"/>
        <w:ind w:left="1800"/>
        <w:rPr>
          <w:sz w:val="24"/>
        </w:rPr>
      </w:pPr>
      <w:r w:rsidRPr="00C42BDA">
        <w:rPr>
          <w:sz w:val="24"/>
        </w:rPr>
        <w:lastRenderedPageBreak/>
        <w:t>To create programs, services, and experiences that support students to be leaders in their own education, communities and lives. (Northern New Mexico College)</w:t>
      </w:r>
    </w:p>
    <w:p w:rsidR="00F4443B" w:rsidRPr="00C42BDA" w:rsidRDefault="00F4443B" w:rsidP="00F4443B">
      <w:pPr>
        <w:pStyle w:val="ListParagraph"/>
        <w:numPr>
          <w:ilvl w:val="0"/>
          <w:numId w:val="3"/>
        </w:numPr>
        <w:rPr>
          <w:sz w:val="24"/>
        </w:rPr>
      </w:pPr>
      <w:r w:rsidRPr="00C42BDA">
        <w:rPr>
          <w:sz w:val="24"/>
        </w:rPr>
        <w:t>Co-curricular units include unique mix of programs and services that focus on student learning and development outside of the classroom. (Syracuse University)</w:t>
      </w:r>
    </w:p>
    <w:p w:rsidR="00F4443B" w:rsidRPr="00C42BDA" w:rsidRDefault="00F4443B" w:rsidP="00F4443B">
      <w:pPr>
        <w:pStyle w:val="ListParagraph"/>
        <w:numPr>
          <w:ilvl w:val="0"/>
          <w:numId w:val="3"/>
        </w:numPr>
        <w:rPr>
          <w:sz w:val="24"/>
        </w:rPr>
      </w:pPr>
      <w:r w:rsidRPr="00C42BDA">
        <w:rPr>
          <w:sz w:val="24"/>
        </w:rPr>
        <w:t xml:space="preserve">Co-curricular engagement is learning that occurs outside the classroom through participation in leadership opportunities, student academic support, student employment, or student development activities, such as </w:t>
      </w:r>
      <w:r w:rsidRPr="00C42BDA">
        <w:rPr>
          <w:sz w:val="32"/>
        </w:rPr>
        <w:t xml:space="preserve">clubs, </w:t>
      </w:r>
      <w:r w:rsidRPr="00C42BDA">
        <w:rPr>
          <w:sz w:val="24"/>
        </w:rPr>
        <w:t>organizations, athletics, service learning, and many other student engagement activities. (Sinclair College)</w:t>
      </w:r>
    </w:p>
    <w:p w:rsidR="00F4443B" w:rsidRPr="00C42BDA" w:rsidRDefault="00F4443B" w:rsidP="00F4443B">
      <w:pPr>
        <w:pStyle w:val="ListParagraph"/>
        <w:numPr>
          <w:ilvl w:val="0"/>
          <w:numId w:val="3"/>
        </w:numPr>
        <w:rPr>
          <w:sz w:val="24"/>
        </w:rPr>
      </w:pPr>
      <w:r w:rsidRPr="00C42BDA">
        <w:rPr>
          <w:sz w:val="24"/>
        </w:rPr>
        <w:t>Co-curricular assessment encompasses the annual evaluation of programs and operations within all co-curricular units, which we define as any unit not serving in a strictly academic capacity. (unknow)</w:t>
      </w:r>
    </w:p>
    <w:p w:rsidR="00F4443B" w:rsidRPr="00C42BDA" w:rsidRDefault="00F4443B" w:rsidP="00F4443B">
      <w:pPr>
        <w:pStyle w:val="ListParagraph"/>
        <w:numPr>
          <w:ilvl w:val="0"/>
          <w:numId w:val="3"/>
        </w:numPr>
        <w:rPr>
          <w:sz w:val="24"/>
        </w:rPr>
      </w:pPr>
      <w:r w:rsidRPr="00C42BDA">
        <w:rPr>
          <w:sz w:val="24"/>
          <w:highlight w:val="yellow"/>
        </w:rPr>
        <w:t>Co-curricular definition – Purposeful and assessable learning opportunities that support academic programming designed to facilitate the development of the whole student.</w:t>
      </w:r>
      <w:r w:rsidRPr="00C42BDA">
        <w:rPr>
          <w:sz w:val="24"/>
        </w:rPr>
        <w:t xml:space="preserve"> (</w:t>
      </w:r>
      <w:r w:rsidR="00D07E85" w:rsidRPr="00C42BDA">
        <w:rPr>
          <w:sz w:val="24"/>
        </w:rPr>
        <w:t>University of Arkansas – Pulaski Tech)</w:t>
      </w:r>
    </w:p>
    <w:p w:rsidR="00F4443B" w:rsidRPr="00C42BDA" w:rsidRDefault="00D07E85" w:rsidP="00F4443B">
      <w:pPr>
        <w:pStyle w:val="ListParagraph"/>
        <w:numPr>
          <w:ilvl w:val="0"/>
          <w:numId w:val="3"/>
        </w:numPr>
        <w:rPr>
          <w:sz w:val="24"/>
        </w:rPr>
      </w:pPr>
      <w:r w:rsidRPr="00C42BDA">
        <w:rPr>
          <w:sz w:val="24"/>
        </w:rPr>
        <w:t xml:space="preserve">Co-curricular – being outside of but usually complementing the regular curriculum cocurricular activities </w:t>
      </w:r>
    </w:p>
    <w:p w:rsidR="00D07E85" w:rsidRPr="00C42BDA" w:rsidRDefault="00D07E85" w:rsidP="00F4443B">
      <w:pPr>
        <w:pStyle w:val="ListParagraph"/>
        <w:numPr>
          <w:ilvl w:val="0"/>
          <w:numId w:val="3"/>
        </w:numPr>
        <w:rPr>
          <w:sz w:val="24"/>
        </w:rPr>
      </w:pPr>
      <w:r w:rsidRPr="00C42BDA">
        <w:rPr>
          <w:sz w:val="24"/>
        </w:rPr>
        <w:t>Co-curricular program – a structured, student-entered program that promotes students’ academic, personal, and/or professional growth and development (University of Minnesota Duluth)</w:t>
      </w:r>
    </w:p>
    <w:p w:rsidR="00D07E85" w:rsidRDefault="00D07E85" w:rsidP="00F4443B">
      <w:pPr>
        <w:pStyle w:val="ListParagraph"/>
        <w:numPr>
          <w:ilvl w:val="0"/>
          <w:numId w:val="3"/>
        </w:numPr>
        <w:rPr>
          <w:sz w:val="24"/>
        </w:rPr>
      </w:pPr>
      <w:r w:rsidRPr="00C42BDA">
        <w:rPr>
          <w:sz w:val="24"/>
        </w:rPr>
        <w:t>Co-curricular refers to activities, programs, and learning experiences that complement, in some way, what students are learning in school. (Northwest Arkansas Community College)</w:t>
      </w:r>
    </w:p>
    <w:p w:rsidR="002B60EB" w:rsidRPr="00A83701" w:rsidRDefault="002B60EB" w:rsidP="00A83701">
      <w:pPr>
        <w:ind w:left="720"/>
        <w:rPr>
          <w:color w:val="C45911" w:themeColor="accent2" w:themeShade="BF"/>
          <w:sz w:val="24"/>
        </w:rPr>
      </w:pPr>
      <w:r>
        <w:rPr>
          <w:sz w:val="24"/>
        </w:rPr>
        <w:tab/>
      </w:r>
      <w:r w:rsidRPr="00A83701">
        <w:rPr>
          <w:color w:val="C45911" w:themeColor="accent2" w:themeShade="BF"/>
          <w:sz w:val="24"/>
        </w:rPr>
        <w:t xml:space="preserve">The committee decided that the highlighted definition from the University of Arkansas was a </w:t>
      </w:r>
      <w:r w:rsidR="00A83701" w:rsidRPr="00A83701">
        <w:rPr>
          <w:color w:val="C45911" w:themeColor="accent2" w:themeShade="BF"/>
          <w:sz w:val="24"/>
        </w:rPr>
        <w:t xml:space="preserve">good </w:t>
      </w:r>
      <w:r w:rsidR="00A83701">
        <w:rPr>
          <w:color w:val="C45911" w:themeColor="accent2" w:themeShade="BF"/>
          <w:sz w:val="24"/>
        </w:rPr>
        <w:t xml:space="preserve">definition to </w:t>
      </w:r>
      <w:r w:rsidR="00A83701" w:rsidRPr="00A83701">
        <w:rPr>
          <w:color w:val="C45911" w:themeColor="accent2" w:themeShade="BF"/>
          <w:sz w:val="24"/>
        </w:rPr>
        <w:t xml:space="preserve">start </w:t>
      </w:r>
      <w:r w:rsidR="00A83701">
        <w:rPr>
          <w:color w:val="C45911" w:themeColor="accent2" w:themeShade="BF"/>
          <w:sz w:val="24"/>
        </w:rPr>
        <w:t>in</w:t>
      </w:r>
      <w:r w:rsidR="00A83701" w:rsidRPr="00A83701">
        <w:rPr>
          <w:color w:val="C45911" w:themeColor="accent2" w:themeShade="BF"/>
          <w:sz w:val="24"/>
        </w:rPr>
        <w:t xml:space="preserve"> creating a definition for co-curricular at NOC since it did not define co-curricular as activities outside of the classroom.  The definition will be sent out to the committee to further refine the definition to fit NOC and include some examples.</w:t>
      </w:r>
    </w:p>
    <w:sectPr w:rsidR="002B60EB" w:rsidRPr="00A837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MT-Identity-H">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A4E7D"/>
    <w:multiLevelType w:val="hybridMultilevel"/>
    <w:tmpl w:val="B22CBF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A760309"/>
    <w:multiLevelType w:val="hybridMultilevel"/>
    <w:tmpl w:val="D44CF066"/>
    <w:lvl w:ilvl="0" w:tplc="F8BCEE9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6622D0"/>
    <w:multiLevelType w:val="hybridMultilevel"/>
    <w:tmpl w:val="573CFA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7B803815"/>
    <w:multiLevelType w:val="hybridMultilevel"/>
    <w:tmpl w:val="814A7E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AxNjU2NTM3tLCwMDBT0lEKTi0uzszPAykwrwUA+PW9TSwAAAA="/>
  </w:docVars>
  <w:rsids>
    <w:rsidRoot w:val="00B16483"/>
    <w:rsid w:val="00052B3B"/>
    <w:rsid w:val="000C2CEE"/>
    <w:rsid w:val="000D7997"/>
    <w:rsid w:val="000E4A73"/>
    <w:rsid w:val="001C26EF"/>
    <w:rsid w:val="001F0D70"/>
    <w:rsid w:val="001F71EB"/>
    <w:rsid w:val="0023096D"/>
    <w:rsid w:val="00253DF1"/>
    <w:rsid w:val="00287EE2"/>
    <w:rsid w:val="002B60EB"/>
    <w:rsid w:val="002D3589"/>
    <w:rsid w:val="00327ECB"/>
    <w:rsid w:val="00403D4F"/>
    <w:rsid w:val="004153D7"/>
    <w:rsid w:val="00535AEB"/>
    <w:rsid w:val="00582A9B"/>
    <w:rsid w:val="005A6176"/>
    <w:rsid w:val="005A6EBA"/>
    <w:rsid w:val="006D1870"/>
    <w:rsid w:val="00706251"/>
    <w:rsid w:val="00784343"/>
    <w:rsid w:val="00862008"/>
    <w:rsid w:val="00943ADE"/>
    <w:rsid w:val="009B3531"/>
    <w:rsid w:val="00A74870"/>
    <w:rsid w:val="00A83701"/>
    <w:rsid w:val="00AF09FA"/>
    <w:rsid w:val="00B16483"/>
    <w:rsid w:val="00BC7AC6"/>
    <w:rsid w:val="00C42BDA"/>
    <w:rsid w:val="00CF7CC3"/>
    <w:rsid w:val="00D07E85"/>
    <w:rsid w:val="00DA2675"/>
    <w:rsid w:val="00E17FED"/>
    <w:rsid w:val="00E401A6"/>
    <w:rsid w:val="00E757B7"/>
    <w:rsid w:val="00E80E6F"/>
    <w:rsid w:val="00F4443B"/>
    <w:rsid w:val="00FF3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37E64"/>
  <w15:chartTrackingRefBased/>
  <w15:docId w15:val="{4EED3FD8-7BA8-4CC7-8122-3E3A0773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6483"/>
    <w:rPr>
      <w:color w:val="0563C1"/>
      <w:u w:val="single"/>
    </w:rPr>
  </w:style>
  <w:style w:type="paragraph" w:styleId="ListParagraph">
    <w:name w:val="List Paragraph"/>
    <w:basedOn w:val="Normal"/>
    <w:uiPriority w:val="34"/>
    <w:qFormat/>
    <w:rsid w:val="000C2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4459111">
      <w:bodyDiv w:val="1"/>
      <w:marLeft w:val="0"/>
      <w:marRight w:val="0"/>
      <w:marTop w:val="0"/>
      <w:marBottom w:val="0"/>
      <w:divBdr>
        <w:top w:val="none" w:sz="0" w:space="0" w:color="auto"/>
        <w:left w:val="none" w:sz="0" w:space="0" w:color="auto"/>
        <w:bottom w:val="none" w:sz="0" w:space="0" w:color="auto"/>
        <w:right w:val="none" w:sz="0" w:space="0" w:color="auto"/>
      </w:divBdr>
    </w:div>
    <w:div w:id="212712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Northern Oklahoma College</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Otto</dc:creator>
  <cp:keywords/>
  <dc:description/>
  <cp:lastModifiedBy>KATHLEEN Otto</cp:lastModifiedBy>
  <cp:revision>10</cp:revision>
  <dcterms:created xsi:type="dcterms:W3CDTF">2020-04-02T17:29:00Z</dcterms:created>
  <dcterms:modified xsi:type="dcterms:W3CDTF">2020-04-22T13:16:00Z</dcterms:modified>
</cp:coreProperties>
</file>