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EF33" w14:textId="5C63CF19" w:rsidR="00B977DF" w:rsidRPr="00DB3079" w:rsidRDefault="00B977DF" w:rsidP="00DB3079">
      <w:pPr>
        <w:jc w:val="center"/>
        <w:rPr>
          <w:rFonts w:ascii="Minion Pro" w:hAnsi="Minion Pro"/>
          <w:sz w:val="28"/>
          <w:szCs w:val="28"/>
        </w:rPr>
      </w:pPr>
      <w:r w:rsidRPr="00DB3079">
        <w:rPr>
          <w:rFonts w:ascii="Minion Pro" w:hAnsi="Minion Pro"/>
          <w:sz w:val="28"/>
          <w:szCs w:val="28"/>
        </w:rPr>
        <w:t>Criteria for Expedited Review</w:t>
      </w:r>
    </w:p>
    <w:p w14:paraId="05731753" w14:textId="77777777" w:rsidR="00B977DF" w:rsidRPr="00DB3079" w:rsidRDefault="00B977DF" w:rsidP="00B977DF">
      <w:pPr>
        <w:rPr>
          <w:rFonts w:ascii="Minion Pro" w:hAnsi="Minion Pro"/>
          <w:sz w:val="24"/>
          <w:szCs w:val="24"/>
        </w:rPr>
      </w:pPr>
      <w:r w:rsidRPr="00DB3079">
        <w:rPr>
          <w:rFonts w:ascii="Minion Pro" w:hAnsi="Minion Pro"/>
          <w:sz w:val="24"/>
          <w:szCs w:val="24"/>
        </w:rPr>
        <w:t xml:space="preserve">Your research may qualify for an expedited review if one or more of the following criteria apply: </w:t>
      </w:r>
    </w:p>
    <w:p w14:paraId="3CC4D57B" w14:textId="12486ACA" w:rsidR="005C41E7" w:rsidRDefault="00B977DF" w:rsidP="00B977DF">
      <w:pPr>
        <w:rPr>
          <w:rFonts w:ascii="Minion Pro" w:hAnsi="Minion Pro"/>
          <w:sz w:val="24"/>
          <w:szCs w:val="24"/>
        </w:rPr>
      </w:pPr>
      <w:r w:rsidRPr="00DB3079">
        <w:rPr>
          <w:rFonts w:ascii="Minion Pro" w:hAnsi="Minion Pro"/>
          <w:sz w:val="24"/>
          <w:szCs w:val="24"/>
        </w:rPr>
        <w:t>Please check all boxes that you believe may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35"/>
      </w:tblGrid>
      <w:tr w:rsidR="00DB3079" w14:paraId="374138D9" w14:textId="77777777" w:rsidTr="00CD7F2F">
        <w:sdt>
          <w:sdtPr>
            <w:rPr>
              <w:rFonts w:ascii="Minion Pro" w:hAnsi="Minion Pro"/>
              <w:sz w:val="24"/>
              <w:szCs w:val="24"/>
            </w:rPr>
            <w:id w:val="-1366446753"/>
            <w14:checkbox>
              <w14:checked w14:val="0"/>
              <w14:checkedState w14:val="2612" w14:font="MS Gothic"/>
              <w14:uncheckedState w14:val="2610" w14:font="MS Gothic"/>
            </w14:checkbox>
          </w:sdtPr>
          <w:sdtEndPr/>
          <w:sdtContent>
            <w:tc>
              <w:tcPr>
                <w:tcW w:w="535" w:type="dxa"/>
              </w:tcPr>
              <w:p w14:paraId="61774488" w14:textId="3DD5FFC0"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6F163913" w14:textId="77777777" w:rsidR="00DB3079" w:rsidRPr="00DB3079" w:rsidRDefault="00DB3079" w:rsidP="00DB3079">
            <w:pPr>
              <w:rPr>
                <w:rFonts w:ascii="Minion Pro" w:hAnsi="Minion Pro"/>
                <w:color w:val="404040" w:themeColor="text1" w:themeTint="BF"/>
                <w:sz w:val="24"/>
                <w:szCs w:val="24"/>
              </w:rPr>
            </w:pPr>
            <w:r>
              <w:rPr>
                <w:rFonts w:ascii="Minion Pro" w:hAnsi="Minion Pro"/>
                <w:sz w:val="24"/>
                <w:szCs w:val="24"/>
              </w:rPr>
              <w:t>R</w:t>
            </w:r>
            <w:r w:rsidRPr="00DB3079">
              <w:rPr>
                <w:rFonts w:ascii="Minion Pro" w:hAnsi="Minion Pro"/>
                <w:sz w:val="24"/>
                <w:szCs w:val="24"/>
              </w:rPr>
              <w:t xml:space="preserve">esearch will not </w:t>
            </w:r>
            <w:r w:rsidRPr="00DB3079">
              <w:rPr>
                <w:rFonts w:ascii="Minion Pro" w:hAnsi="Minion Pro"/>
                <w:color w:val="404040" w:themeColor="text1" w:themeTint="BF"/>
                <w:sz w:val="24"/>
                <w:szCs w:val="24"/>
              </w:rPr>
              <w:t xml:space="preserve">involve animals.  Note:  Research involving animals requires a full review that includes a review by the Institutional Animal Care and Use Committee (IACUC). Research involving animals may also be subject to federal and state regulations under the Animal Welfare Act, and periodic review and inspection by the USDA. It is the responsibility of the PI to ensure that the research project meets all applicable state and federal regulations. Copies of all materials, such as letters of inspection and licenses, must accompany this application.  </w:t>
            </w:r>
          </w:p>
          <w:p w14:paraId="378CFFE1" w14:textId="77777777" w:rsidR="00DB3079" w:rsidRDefault="00DB3079" w:rsidP="00B977DF">
            <w:pPr>
              <w:rPr>
                <w:rFonts w:ascii="Minion Pro" w:hAnsi="Minion Pro"/>
                <w:sz w:val="24"/>
                <w:szCs w:val="24"/>
              </w:rPr>
            </w:pPr>
          </w:p>
        </w:tc>
      </w:tr>
      <w:tr w:rsidR="00DB3079" w14:paraId="5D80BE0C" w14:textId="77777777" w:rsidTr="00CD7F2F">
        <w:sdt>
          <w:sdtPr>
            <w:rPr>
              <w:rFonts w:ascii="Minion Pro" w:hAnsi="Minion Pro"/>
              <w:sz w:val="24"/>
              <w:szCs w:val="24"/>
            </w:rPr>
            <w:id w:val="-1615585227"/>
            <w14:checkbox>
              <w14:checked w14:val="0"/>
              <w14:checkedState w14:val="2612" w14:font="MS Gothic"/>
              <w14:uncheckedState w14:val="2610" w14:font="MS Gothic"/>
            </w14:checkbox>
          </w:sdtPr>
          <w:sdtEndPr/>
          <w:sdtContent>
            <w:tc>
              <w:tcPr>
                <w:tcW w:w="535" w:type="dxa"/>
              </w:tcPr>
              <w:p w14:paraId="5C2EBC11" w14:textId="785005DE"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6B46681A" w14:textId="77777777" w:rsidR="00DB3079" w:rsidRPr="00DB3079" w:rsidRDefault="00DB3079" w:rsidP="00DB3079">
            <w:pPr>
              <w:rPr>
                <w:rFonts w:ascii="Minion Pro" w:hAnsi="Minion Pro"/>
                <w:color w:val="404040" w:themeColor="text1" w:themeTint="BF"/>
                <w:sz w:val="24"/>
                <w:szCs w:val="24"/>
                <w:u w:val="single"/>
              </w:rPr>
            </w:pPr>
            <w:r w:rsidRPr="00DB3079">
              <w:rPr>
                <w:rFonts w:ascii="Minion Pro" w:hAnsi="Minion Pro"/>
                <w:color w:val="404040" w:themeColor="text1" w:themeTint="BF"/>
                <w:sz w:val="24"/>
                <w:szCs w:val="24"/>
              </w:rPr>
              <w:t xml:space="preserve">Research will not involve children under 18.  </w:t>
            </w:r>
            <w:r w:rsidRPr="00DB3079">
              <w:rPr>
                <w:rFonts w:ascii="Minion Pro" w:hAnsi="Minion Pro"/>
                <w:color w:val="404040" w:themeColor="text1" w:themeTint="BF"/>
                <w:sz w:val="24"/>
                <w:szCs w:val="24"/>
                <w:u w:val="single"/>
              </w:rPr>
              <w:t xml:space="preserve">Northern Oklahoma College does not support research projects involving participants under the age of 18 with the exception of proposals fitting the “exempt” status.  </w:t>
            </w:r>
          </w:p>
          <w:p w14:paraId="07F1ACD9" w14:textId="77777777" w:rsidR="00DB3079" w:rsidRDefault="00DB3079" w:rsidP="00B977DF">
            <w:pPr>
              <w:rPr>
                <w:rFonts w:ascii="Minion Pro" w:hAnsi="Minion Pro"/>
                <w:sz w:val="24"/>
                <w:szCs w:val="24"/>
              </w:rPr>
            </w:pPr>
          </w:p>
        </w:tc>
      </w:tr>
      <w:tr w:rsidR="00DB3079" w14:paraId="346C3381" w14:textId="77777777" w:rsidTr="00CD7F2F">
        <w:sdt>
          <w:sdtPr>
            <w:rPr>
              <w:rFonts w:ascii="Minion Pro" w:hAnsi="Minion Pro"/>
              <w:sz w:val="24"/>
              <w:szCs w:val="24"/>
            </w:rPr>
            <w:id w:val="-342785333"/>
            <w14:checkbox>
              <w14:checked w14:val="0"/>
              <w14:checkedState w14:val="2612" w14:font="MS Gothic"/>
              <w14:uncheckedState w14:val="2610" w14:font="MS Gothic"/>
            </w14:checkbox>
          </w:sdtPr>
          <w:sdtEndPr/>
          <w:sdtContent>
            <w:tc>
              <w:tcPr>
                <w:tcW w:w="535" w:type="dxa"/>
              </w:tcPr>
              <w:p w14:paraId="2F07BB8F" w14:textId="0A19B8AE"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06B1C764"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Research does not involve studies of drugs and medical devices unless both of the criteria below are met.</w:t>
            </w:r>
          </w:p>
          <w:p w14:paraId="6D3AF136" w14:textId="2545176E" w:rsidR="00DB3079" w:rsidRPr="00DB3079" w:rsidRDefault="00DB3079" w:rsidP="00DB3079">
            <w:pPr>
              <w:pStyle w:val="ListParagraph"/>
              <w:numPr>
                <w:ilvl w:val="0"/>
                <w:numId w:val="6"/>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Research on drugs for which an investigational new drug application (21 CFR Part 312) is not required. (Note: Research on marketed drugs that significantly increase the risks or decreases the acceptability of the risks associated with the use of the product is not eligible for expedited review.)</w:t>
            </w:r>
          </w:p>
          <w:p w14:paraId="09449311" w14:textId="60DF0E87" w:rsidR="00DB3079" w:rsidRPr="00DB3079" w:rsidRDefault="00DB3079" w:rsidP="00DB3079">
            <w:pPr>
              <w:pStyle w:val="ListParagraph"/>
              <w:numPr>
                <w:ilvl w:val="0"/>
                <w:numId w:val="6"/>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56B337B0" w14:textId="77777777" w:rsidR="00DB3079" w:rsidRDefault="00DB3079" w:rsidP="00B977DF">
            <w:pPr>
              <w:rPr>
                <w:rFonts w:ascii="Minion Pro" w:hAnsi="Minion Pro"/>
                <w:sz w:val="24"/>
                <w:szCs w:val="24"/>
              </w:rPr>
            </w:pPr>
          </w:p>
        </w:tc>
      </w:tr>
      <w:tr w:rsidR="00DB3079" w14:paraId="0179680B" w14:textId="77777777" w:rsidTr="00CD7F2F">
        <w:sdt>
          <w:sdtPr>
            <w:rPr>
              <w:rFonts w:ascii="Minion Pro" w:hAnsi="Minion Pro"/>
              <w:sz w:val="24"/>
              <w:szCs w:val="24"/>
            </w:rPr>
            <w:id w:val="1049413482"/>
            <w14:checkbox>
              <w14:checked w14:val="0"/>
              <w14:checkedState w14:val="2612" w14:font="MS Gothic"/>
              <w14:uncheckedState w14:val="2610" w14:font="MS Gothic"/>
            </w14:checkbox>
          </w:sdtPr>
          <w:sdtEndPr/>
          <w:sdtContent>
            <w:tc>
              <w:tcPr>
                <w:tcW w:w="535" w:type="dxa"/>
              </w:tcPr>
              <w:p w14:paraId="3600AA2A" w14:textId="46893BEB"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1F550E66"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Research does not involve collection of blood samples by finger stick, </w:t>
            </w:r>
            <w:proofErr w:type="spellStart"/>
            <w:r w:rsidRPr="00DB3079">
              <w:rPr>
                <w:rFonts w:ascii="Minion Pro" w:hAnsi="Minion Pro"/>
                <w:color w:val="404040" w:themeColor="text1" w:themeTint="BF"/>
                <w:sz w:val="24"/>
                <w:szCs w:val="24"/>
              </w:rPr>
              <w:t>heel</w:t>
            </w:r>
            <w:proofErr w:type="spellEnd"/>
            <w:r w:rsidRPr="00DB3079">
              <w:rPr>
                <w:rFonts w:ascii="Minion Pro" w:hAnsi="Minion Pro"/>
                <w:color w:val="404040" w:themeColor="text1" w:themeTint="BF"/>
                <w:sz w:val="24"/>
                <w:szCs w:val="24"/>
              </w:rPr>
              <w:t xml:space="preserve"> stick, ear stick, or venipuncture unless the two following criteria are met:  </w:t>
            </w:r>
          </w:p>
          <w:p w14:paraId="1D16226B" w14:textId="07604352" w:rsidR="00DB3079" w:rsidRPr="00DB3079" w:rsidRDefault="00DB3079" w:rsidP="00DB3079">
            <w:pPr>
              <w:pStyle w:val="ListParagraph"/>
              <w:numPr>
                <w:ilvl w:val="0"/>
                <w:numId w:val="7"/>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From healthy, non-pregnant adults who weigh at least 110 pounds. For these subjects, the amounts drawn may not exceed 550 ml in an 8-week period and collection may not occur more frequently than 2 times per week; or</w:t>
            </w:r>
          </w:p>
          <w:p w14:paraId="753321A8" w14:textId="03CCCEF9" w:rsidR="00DB3079" w:rsidRPr="00DB3079" w:rsidRDefault="00DB3079" w:rsidP="00DB3079">
            <w:pPr>
              <w:pStyle w:val="ListParagraph"/>
              <w:numPr>
                <w:ilvl w:val="0"/>
                <w:numId w:val="7"/>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From other adults and children, considering the age, weight, and health of the subjects, the collection procedure, the amount of blood to be collected, the frequency with which it will be collected. For these subjects, the amount drawn may not exceed the lesser of 50 ml or 2 ml per kg in an 8-week period and collection may not occur more frequently than 2 times per week.</w:t>
            </w:r>
          </w:p>
          <w:p w14:paraId="528CDFFA" w14:textId="77777777" w:rsidR="00DB3079" w:rsidRDefault="00DB3079" w:rsidP="00B977DF">
            <w:pPr>
              <w:rPr>
                <w:rFonts w:ascii="Minion Pro" w:hAnsi="Minion Pro"/>
                <w:sz w:val="24"/>
                <w:szCs w:val="24"/>
              </w:rPr>
            </w:pPr>
          </w:p>
        </w:tc>
      </w:tr>
      <w:tr w:rsidR="00DB3079" w14:paraId="0848288F" w14:textId="77777777" w:rsidTr="00CD7F2F">
        <w:sdt>
          <w:sdtPr>
            <w:rPr>
              <w:rFonts w:ascii="Minion Pro" w:hAnsi="Minion Pro"/>
              <w:sz w:val="24"/>
              <w:szCs w:val="24"/>
            </w:rPr>
            <w:id w:val="-369995097"/>
            <w14:checkbox>
              <w14:checked w14:val="0"/>
              <w14:checkedState w14:val="2612" w14:font="MS Gothic"/>
              <w14:uncheckedState w14:val="2610" w14:font="MS Gothic"/>
            </w14:checkbox>
          </w:sdtPr>
          <w:sdtEndPr/>
          <w:sdtContent>
            <w:tc>
              <w:tcPr>
                <w:tcW w:w="535" w:type="dxa"/>
              </w:tcPr>
              <w:p w14:paraId="299928E4" w14:textId="0A353704"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2DB2D4B7"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Research may involve prospective collection of biological specimens for research purposes by noninvasive means. </w:t>
            </w:r>
          </w:p>
          <w:p w14:paraId="40974141"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Examples: (a) hair and nail clippings in a </w:t>
            </w:r>
            <w:proofErr w:type="spellStart"/>
            <w:r w:rsidRPr="00DB3079">
              <w:rPr>
                <w:rFonts w:ascii="Minion Pro" w:hAnsi="Minion Pro"/>
                <w:color w:val="404040" w:themeColor="text1" w:themeTint="BF"/>
                <w:sz w:val="24"/>
                <w:szCs w:val="24"/>
              </w:rPr>
              <w:t>nondisfiguring</w:t>
            </w:r>
            <w:proofErr w:type="spellEnd"/>
            <w:r w:rsidRPr="00DB3079">
              <w:rPr>
                <w:rFonts w:ascii="Minion Pro" w:hAnsi="Minion Pro"/>
                <w:color w:val="404040" w:themeColor="text1" w:themeTint="BF"/>
                <w:sz w:val="24"/>
                <w:szCs w:val="24"/>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DB3079">
              <w:rPr>
                <w:rFonts w:ascii="Minion Pro" w:hAnsi="Minion Pro"/>
                <w:color w:val="404040" w:themeColor="text1" w:themeTint="BF"/>
                <w:sz w:val="24"/>
                <w:szCs w:val="24"/>
              </w:rPr>
              <w:t>uncannulated</w:t>
            </w:r>
            <w:proofErr w:type="spellEnd"/>
            <w:r w:rsidRPr="00DB3079">
              <w:rPr>
                <w:rFonts w:ascii="Minion Pro" w:hAnsi="Minion Pro"/>
                <w:color w:val="404040" w:themeColor="text1" w:themeTint="BF"/>
                <w:sz w:val="24"/>
                <w:szCs w:val="24"/>
              </w:rPr>
              <w:t xml:space="preserve"> saliva collected either in an unstimulated fashion or stimulated by chewing </w:t>
            </w:r>
            <w:proofErr w:type="spellStart"/>
            <w:r w:rsidRPr="00DB3079">
              <w:rPr>
                <w:rFonts w:ascii="Minion Pro" w:hAnsi="Minion Pro"/>
                <w:color w:val="404040" w:themeColor="text1" w:themeTint="BF"/>
                <w:sz w:val="24"/>
                <w:szCs w:val="24"/>
              </w:rPr>
              <w:t>gumbase</w:t>
            </w:r>
            <w:proofErr w:type="spellEnd"/>
            <w:r w:rsidRPr="00DB3079">
              <w:rPr>
                <w:rFonts w:ascii="Minion Pro" w:hAnsi="Minion Pro"/>
                <w:color w:val="404040" w:themeColor="text1" w:themeTint="BF"/>
                <w:sz w:val="24"/>
                <w:szCs w:val="24"/>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or mouth washings; (j) sputum collected after saline mist nebulization. </w:t>
            </w:r>
          </w:p>
          <w:p w14:paraId="73C283D3" w14:textId="77777777" w:rsidR="00DB3079" w:rsidRDefault="00DB3079" w:rsidP="00B977DF">
            <w:pPr>
              <w:rPr>
                <w:rFonts w:ascii="Minion Pro" w:hAnsi="Minion Pro"/>
                <w:sz w:val="24"/>
                <w:szCs w:val="24"/>
              </w:rPr>
            </w:pPr>
          </w:p>
        </w:tc>
      </w:tr>
      <w:tr w:rsidR="00DB3079" w14:paraId="3EE3F9D5" w14:textId="77777777" w:rsidTr="00CD7F2F">
        <w:sdt>
          <w:sdtPr>
            <w:rPr>
              <w:rFonts w:ascii="Minion Pro" w:hAnsi="Minion Pro"/>
              <w:sz w:val="24"/>
              <w:szCs w:val="24"/>
            </w:rPr>
            <w:id w:val="-850334320"/>
            <w14:checkbox>
              <w14:checked w14:val="0"/>
              <w14:checkedState w14:val="2612" w14:font="MS Gothic"/>
              <w14:uncheckedState w14:val="2610" w14:font="MS Gothic"/>
            </w14:checkbox>
          </w:sdtPr>
          <w:sdtEndPr/>
          <w:sdtContent>
            <w:tc>
              <w:tcPr>
                <w:tcW w:w="535" w:type="dxa"/>
              </w:tcPr>
              <w:p w14:paraId="5348AB39" w14:textId="092A4030"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7835CCC3"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Research will involve 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w:t>
            </w:r>
          </w:p>
          <w:p w14:paraId="42FD5A70"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age, weight, and health of the individual. </w:t>
            </w:r>
          </w:p>
          <w:p w14:paraId="25DD892B" w14:textId="77777777" w:rsidR="00DB3079" w:rsidRDefault="00DB3079" w:rsidP="00B977DF">
            <w:pPr>
              <w:rPr>
                <w:rFonts w:ascii="Minion Pro" w:hAnsi="Minion Pro"/>
                <w:sz w:val="24"/>
                <w:szCs w:val="24"/>
              </w:rPr>
            </w:pPr>
          </w:p>
        </w:tc>
      </w:tr>
      <w:tr w:rsidR="00DB3079" w14:paraId="72B920AB" w14:textId="77777777" w:rsidTr="00CD7F2F">
        <w:sdt>
          <w:sdtPr>
            <w:rPr>
              <w:rFonts w:ascii="Minion Pro" w:hAnsi="Minion Pro"/>
              <w:sz w:val="24"/>
              <w:szCs w:val="24"/>
            </w:rPr>
            <w:id w:val="-1090393924"/>
            <w14:checkbox>
              <w14:checked w14:val="0"/>
              <w14:checkedState w14:val="2612" w14:font="MS Gothic"/>
              <w14:uncheckedState w14:val="2610" w14:font="MS Gothic"/>
            </w14:checkbox>
          </w:sdtPr>
          <w:sdtEndPr/>
          <w:sdtContent>
            <w:tc>
              <w:tcPr>
                <w:tcW w:w="535" w:type="dxa"/>
              </w:tcPr>
              <w:p w14:paraId="4AF43798" w14:textId="74EF3D66"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6F4176CA"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Research may involve animals (data documents, records, or specimens) that have been collected or will be collected solely for </w:t>
            </w:r>
            <w:proofErr w:type="spellStart"/>
            <w:r w:rsidRPr="00DB3079">
              <w:rPr>
                <w:rFonts w:ascii="Minion Pro" w:hAnsi="Minion Pro"/>
                <w:color w:val="404040" w:themeColor="text1" w:themeTint="BF"/>
                <w:sz w:val="24"/>
                <w:szCs w:val="24"/>
              </w:rPr>
              <w:t>nonresearch</w:t>
            </w:r>
            <w:proofErr w:type="spellEnd"/>
            <w:r w:rsidRPr="00DB3079">
              <w:rPr>
                <w:rFonts w:ascii="Minion Pro" w:hAnsi="Minion Pro"/>
                <w:color w:val="404040" w:themeColor="text1" w:themeTint="BF"/>
                <w:sz w:val="24"/>
                <w:szCs w:val="24"/>
              </w:rPr>
              <w:t xml:space="preserve"> purposes (such as medical treatment or diagnosis). </w:t>
            </w:r>
          </w:p>
          <w:p w14:paraId="1605AC8B" w14:textId="77777777" w:rsidR="00DB3079" w:rsidRDefault="00DB3079" w:rsidP="00B977DF">
            <w:pPr>
              <w:rPr>
                <w:rFonts w:ascii="Minion Pro" w:hAnsi="Minion Pro"/>
                <w:sz w:val="24"/>
                <w:szCs w:val="24"/>
              </w:rPr>
            </w:pPr>
          </w:p>
        </w:tc>
      </w:tr>
      <w:tr w:rsidR="00DB3079" w14:paraId="6C00C4E1" w14:textId="77777777" w:rsidTr="00CD7F2F">
        <w:sdt>
          <w:sdtPr>
            <w:rPr>
              <w:rFonts w:ascii="Minion Pro" w:hAnsi="Minion Pro"/>
              <w:sz w:val="24"/>
              <w:szCs w:val="24"/>
            </w:rPr>
            <w:id w:val="1703439390"/>
            <w14:checkbox>
              <w14:checked w14:val="0"/>
              <w14:checkedState w14:val="2612" w14:font="MS Gothic"/>
              <w14:uncheckedState w14:val="2610" w14:font="MS Gothic"/>
            </w14:checkbox>
          </w:sdtPr>
          <w:sdtEndPr/>
          <w:sdtContent>
            <w:tc>
              <w:tcPr>
                <w:tcW w:w="535" w:type="dxa"/>
              </w:tcPr>
              <w:p w14:paraId="1B038067" w14:textId="0CA59EAE"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1A668BFC"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Research may involve collection of data from voice, video, digital, or image recordings made for research purposes. </w:t>
            </w:r>
          </w:p>
          <w:p w14:paraId="70619E3F" w14:textId="77777777" w:rsidR="00DB3079" w:rsidRPr="00DB3079" w:rsidRDefault="00DB3079" w:rsidP="00DB3079">
            <w:pPr>
              <w:rPr>
                <w:rFonts w:ascii="Minion Pro" w:hAnsi="Minion Pro"/>
                <w:color w:val="404040" w:themeColor="text1" w:themeTint="BF"/>
                <w:sz w:val="24"/>
                <w:szCs w:val="24"/>
              </w:rPr>
            </w:pPr>
          </w:p>
        </w:tc>
      </w:tr>
      <w:tr w:rsidR="00DB3079" w14:paraId="0E9B6B30" w14:textId="77777777" w:rsidTr="00CD7F2F">
        <w:sdt>
          <w:sdtPr>
            <w:rPr>
              <w:rFonts w:ascii="Minion Pro" w:hAnsi="Minion Pro"/>
              <w:sz w:val="24"/>
              <w:szCs w:val="24"/>
            </w:rPr>
            <w:id w:val="-543983162"/>
            <w14:checkbox>
              <w14:checked w14:val="0"/>
              <w14:checkedState w14:val="2612" w14:font="MS Gothic"/>
              <w14:uncheckedState w14:val="2610" w14:font="MS Gothic"/>
            </w14:checkbox>
          </w:sdtPr>
          <w:sdtEndPr/>
          <w:sdtContent>
            <w:tc>
              <w:tcPr>
                <w:tcW w:w="535" w:type="dxa"/>
              </w:tcPr>
              <w:p w14:paraId="3BF5431A" w14:textId="7FED4945"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2146D264"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w:t>
            </w:r>
            <w:r w:rsidRPr="00DB3079">
              <w:rPr>
                <w:rFonts w:ascii="Minion Pro" w:hAnsi="Minion Pro"/>
                <w:color w:val="404040" w:themeColor="text1" w:themeTint="BF"/>
                <w:sz w:val="24"/>
                <w:szCs w:val="24"/>
              </w:rPr>
              <w:lastRenderedPageBreak/>
              <w:t xml:space="preserve">history, focus group, program evaluation, human factors evaluation, or quality assurance methodologies.  </w:t>
            </w:r>
          </w:p>
          <w:p w14:paraId="4B1C0FEA" w14:textId="77777777" w:rsidR="00DB3079" w:rsidRPr="00DB3079" w:rsidRDefault="00DB3079" w:rsidP="00DB3079">
            <w:pPr>
              <w:rPr>
                <w:rFonts w:ascii="Minion Pro" w:hAnsi="Minion Pro"/>
                <w:color w:val="404040" w:themeColor="text1" w:themeTint="BF"/>
                <w:sz w:val="24"/>
                <w:szCs w:val="24"/>
              </w:rPr>
            </w:pPr>
          </w:p>
        </w:tc>
      </w:tr>
      <w:tr w:rsidR="00DB3079" w14:paraId="393B3C97" w14:textId="77777777" w:rsidTr="00CD7F2F">
        <w:sdt>
          <w:sdtPr>
            <w:rPr>
              <w:rFonts w:ascii="Minion Pro" w:hAnsi="Minion Pro"/>
              <w:sz w:val="24"/>
              <w:szCs w:val="24"/>
            </w:rPr>
            <w:id w:val="1489981963"/>
            <w14:checkbox>
              <w14:checked w14:val="0"/>
              <w14:checkedState w14:val="2612" w14:font="MS Gothic"/>
              <w14:uncheckedState w14:val="2610" w14:font="MS Gothic"/>
            </w14:checkbox>
          </w:sdtPr>
          <w:sdtEndPr/>
          <w:sdtContent>
            <w:tc>
              <w:tcPr>
                <w:tcW w:w="535" w:type="dxa"/>
              </w:tcPr>
              <w:p w14:paraId="54C325B9" w14:textId="68153FFF"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139F813F"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Continuing review of research previously approved by the convened IRB as follows:</w:t>
            </w:r>
          </w:p>
          <w:p w14:paraId="692DFBD1" w14:textId="77777777" w:rsidR="00DB3079" w:rsidRPr="00DB3079" w:rsidRDefault="00DB3079" w:rsidP="00DB3079">
            <w:pPr>
              <w:pStyle w:val="ListParagraph"/>
              <w:numPr>
                <w:ilvl w:val="0"/>
                <w:numId w:val="8"/>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Where (i) the research is permanently closed to the enrollment of new subjects; (ii) all subjects have completed all research-related interventions; and (iii) the research remains active only for long-term follow-up of subjects; or</w:t>
            </w:r>
          </w:p>
          <w:p w14:paraId="24226807" w14:textId="77777777" w:rsidR="00DB3079" w:rsidRPr="00DB3079" w:rsidRDefault="00DB3079" w:rsidP="00DB3079">
            <w:pPr>
              <w:pStyle w:val="ListParagraph"/>
              <w:numPr>
                <w:ilvl w:val="0"/>
                <w:numId w:val="8"/>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Where no subjects have been enrolled and no additional risks have been identified; or</w:t>
            </w:r>
          </w:p>
          <w:p w14:paraId="56FDABFC" w14:textId="77777777" w:rsidR="00DB3079" w:rsidRPr="00DB3079" w:rsidRDefault="00DB3079" w:rsidP="00DB3079">
            <w:pPr>
              <w:pStyle w:val="ListParagraph"/>
              <w:numPr>
                <w:ilvl w:val="0"/>
                <w:numId w:val="8"/>
              </w:numPr>
              <w:rPr>
                <w:rFonts w:ascii="Minion Pro" w:hAnsi="Minion Pro"/>
                <w:color w:val="404040" w:themeColor="text1" w:themeTint="BF"/>
                <w:sz w:val="24"/>
                <w:szCs w:val="24"/>
              </w:rPr>
            </w:pPr>
            <w:r w:rsidRPr="00DB3079">
              <w:rPr>
                <w:rFonts w:ascii="Minion Pro" w:hAnsi="Minion Pro"/>
                <w:color w:val="404040" w:themeColor="text1" w:themeTint="BF"/>
                <w:sz w:val="24"/>
                <w:szCs w:val="24"/>
              </w:rPr>
              <w:t>Where the remaining research activities are limited to data analysis</w:t>
            </w:r>
          </w:p>
          <w:p w14:paraId="5D8B0492" w14:textId="77777777" w:rsidR="00DB3079" w:rsidRPr="00DB3079" w:rsidRDefault="00DB3079" w:rsidP="00DB3079">
            <w:pPr>
              <w:rPr>
                <w:rFonts w:ascii="Minion Pro" w:hAnsi="Minion Pro"/>
                <w:color w:val="404040" w:themeColor="text1" w:themeTint="BF"/>
                <w:sz w:val="24"/>
                <w:szCs w:val="24"/>
              </w:rPr>
            </w:pPr>
          </w:p>
        </w:tc>
      </w:tr>
      <w:tr w:rsidR="00DB3079" w14:paraId="0E1A00BA" w14:textId="77777777" w:rsidTr="00CD7F2F">
        <w:sdt>
          <w:sdtPr>
            <w:rPr>
              <w:rFonts w:ascii="Minion Pro" w:hAnsi="Minion Pro"/>
              <w:sz w:val="24"/>
              <w:szCs w:val="24"/>
            </w:rPr>
            <w:id w:val="-815416314"/>
            <w14:checkbox>
              <w14:checked w14:val="0"/>
              <w14:checkedState w14:val="2612" w14:font="MS Gothic"/>
              <w14:uncheckedState w14:val="2610" w14:font="MS Gothic"/>
            </w14:checkbox>
          </w:sdtPr>
          <w:sdtEndPr/>
          <w:sdtContent>
            <w:tc>
              <w:tcPr>
                <w:tcW w:w="535" w:type="dxa"/>
              </w:tcPr>
              <w:p w14:paraId="229A2D07" w14:textId="4B3284BB" w:rsidR="00DB3079" w:rsidRDefault="00DB3079" w:rsidP="00B977DF">
                <w:pPr>
                  <w:rPr>
                    <w:rFonts w:ascii="Minion Pro" w:hAnsi="Minion Pro"/>
                    <w:sz w:val="24"/>
                    <w:szCs w:val="24"/>
                  </w:rPr>
                </w:pPr>
                <w:r>
                  <w:rPr>
                    <w:rFonts w:ascii="MS Gothic" w:eastAsia="MS Gothic" w:hAnsi="MS Gothic" w:hint="eastAsia"/>
                    <w:sz w:val="24"/>
                    <w:szCs w:val="24"/>
                  </w:rPr>
                  <w:t>☐</w:t>
                </w:r>
              </w:p>
            </w:tc>
          </w:sdtContent>
        </w:sdt>
        <w:tc>
          <w:tcPr>
            <w:tcW w:w="9535" w:type="dxa"/>
          </w:tcPr>
          <w:p w14:paraId="70868EB5" w14:textId="77777777" w:rsidR="00DB3079" w:rsidRPr="00DB3079" w:rsidRDefault="00DB3079" w:rsidP="00DB3079">
            <w:pPr>
              <w:rPr>
                <w:rFonts w:ascii="Minion Pro" w:hAnsi="Minion Pro"/>
                <w:color w:val="404040" w:themeColor="text1" w:themeTint="BF"/>
                <w:sz w:val="24"/>
                <w:szCs w:val="24"/>
              </w:rPr>
            </w:pPr>
            <w:r w:rsidRPr="00DB3079">
              <w:rPr>
                <w:rFonts w:ascii="Minion Pro" w:hAnsi="Minion Pro"/>
                <w:color w:val="404040" w:themeColor="text1" w:themeTint="BF"/>
                <w:sz w:val="24"/>
                <w:szCs w:val="24"/>
              </w:rPr>
              <w:t xml:space="preserve">Continuing review of research, not conducted under an investigational new drug application or investigational device exemption where categories two (2) through eight (8) do not apply by the IRB has determined and documented at a convened meeting that the research involves no greater than minimal risk and no additional risks have been identified.  </w:t>
            </w:r>
          </w:p>
          <w:p w14:paraId="0FBE2EE7" w14:textId="77777777" w:rsidR="00DB3079" w:rsidRPr="00DB3079" w:rsidRDefault="00DB3079" w:rsidP="00DB3079">
            <w:pPr>
              <w:rPr>
                <w:rFonts w:ascii="Minion Pro" w:hAnsi="Minion Pro"/>
                <w:color w:val="404040" w:themeColor="text1" w:themeTint="BF"/>
                <w:sz w:val="24"/>
                <w:szCs w:val="24"/>
              </w:rPr>
            </w:pPr>
          </w:p>
        </w:tc>
      </w:tr>
    </w:tbl>
    <w:p w14:paraId="46BDED9C" w14:textId="3B262DB6" w:rsidR="00B977DF" w:rsidRPr="00DB3079" w:rsidRDefault="00B977DF" w:rsidP="00B977DF">
      <w:pPr>
        <w:rPr>
          <w:rFonts w:ascii="Minion Pro" w:hAnsi="Minion Pro"/>
          <w:sz w:val="24"/>
          <w:szCs w:val="24"/>
        </w:rPr>
      </w:pPr>
      <w:r w:rsidRPr="00DB3079">
        <w:rPr>
          <w:rFonts w:ascii="Minion Pro" w:hAnsi="Minion Pro"/>
          <w:sz w:val="24"/>
          <w:szCs w:val="24"/>
        </w:rPr>
        <w:t>Note: These categories represent minimal requirements of review by 45 CFR 46. The NOC Institutional Review Board reserves the right to require a more stringent review of any study as deemed appropriate.</w:t>
      </w:r>
    </w:p>
    <w:p w14:paraId="1FE2D2BF" w14:textId="77777777" w:rsidR="00B977DF" w:rsidRPr="00131160" w:rsidRDefault="00B977DF" w:rsidP="00B977DF"/>
    <w:sectPr w:rsidR="00B977DF" w:rsidRPr="00131160" w:rsidSect="00AA526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407F" w14:textId="77777777" w:rsidR="00066A13" w:rsidRDefault="00066A13" w:rsidP="00AA5269">
      <w:pPr>
        <w:spacing w:after="0" w:line="240" w:lineRule="auto"/>
      </w:pPr>
      <w:r>
        <w:separator/>
      </w:r>
    </w:p>
  </w:endnote>
  <w:endnote w:type="continuationSeparator" w:id="0">
    <w:p w14:paraId="586C7304" w14:textId="77777777" w:rsidR="00066A13" w:rsidRDefault="00066A13" w:rsidP="00AA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2E7" w14:textId="77777777" w:rsidR="00212118" w:rsidRDefault="00212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09195"/>
      <w:docPartObj>
        <w:docPartGallery w:val="Page Numbers (Bottom of Page)"/>
        <w:docPartUnique/>
      </w:docPartObj>
    </w:sdtPr>
    <w:sdtEndPr/>
    <w:sdtContent>
      <w:sdt>
        <w:sdtPr>
          <w:id w:val="-1769616900"/>
          <w:docPartObj>
            <w:docPartGallery w:val="Page Numbers (Top of Page)"/>
            <w:docPartUnique/>
          </w:docPartObj>
        </w:sdtPr>
        <w:sdtEndPr/>
        <w:sdtContent>
          <w:p w14:paraId="75A4D9F8" w14:textId="6608F12F" w:rsidR="00A36FF6" w:rsidRDefault="00A36F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DD7479" w14:textId="77777777" w:rsidR="00A36FF6" w:rsidRDefault="00A36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11C" w14:textId="77777777" w:rsidR="00212118" w:rsidRDefault="0021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3F11" w14:textId="77777777" w:rsidR="00066A13" w:rsidRDefault="00066A13" w:rsidP="00AA5269">
      <w:pPr>
        <w:spacing w:after="0" w:line="240" w:lineRule="auto"/>
      </w:pPr>
      <w:r>
        <w:separator/>
      </w:r>
    </w:p>
  </w:footnote>
  <w:footnote w:type="continuationSeparator" w:id="0">
    <w:p w14:paraId="4BB99E2A" w14:textId="77777777" w:rsidR="00066A13" w:rsidRDefault="00066A13" w:rsidP="00AA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5D88" w14:textId="77777777" w:rsidR="00212118" w:rsidRDefault="00212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AAE" w14:textId="27433232" w:rsidR="00AA5269" w:rsidRPr="009D0769" w:rsidRDefault="009D0769" w:rsidP="009D0769">
    <w:pPr>
      <w:pStyle w:val="Header"/>
      <w:jc w:val="right"/>
      <w:rPr>
        <w:rFonts w:ascii="Minion Pro" w:hAnsi="Minion Pro"/>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344C794" wp14:editId="0C152FC0">
              <wp:simplePos x="0" y="0"/>
              <wp:positionH relativeFrom="column">
                <wp:posOffset>-358139</wp:posOffset>
              </wp:positionH>
              <wp:positionV relativeFrom="paragraph">
                <wp:posOffset>419100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68AE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3pt" to="53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" strokecolor="black [3213]" strokeweight=".5pt">
              <v:stroke joinstyle="miter"/>
            </v:line>
          </w:pict>
        </mc:Fallback>
      </mc:AlternateContent>
    </w:r>
    <w:r w:rsidR="00AA5269" w:rsidRPr="009D0769">
      <w:rPr>
        <w:rFonts w:ascii="Minion Pro" w:hAnsi="Minion Pro"/>
        <w:noProof/>
        <w:sz w:val="32"/>
        <w:szCs w:val="32"/>
      </w:rPr>
      <w:drawing>
        <wp:anchor distT="0" distB="0" distL="114300" distR="114300" simplePos="0" relativeHeight="251658240" behindDoc="0" locked="0" layoutInCell="1" allowOverlap="1" wp14:anchorId="1BF46C21" wp14:editId="0AE4FB51">
          <wp:simplePos x="0" y="0"/>
          <wp:positionH relativeFrom="column">
            <wp:posOffset>-95250</wp:posOffset>
          </wp:positionH>
          <wp:positionV relativeFrom="paragraph">
            <wp:posOffset>-161925</wp:posOffset>
          </wp:positionV>
          <wp:extent cx="1790239" cy="495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27A8" w14:textId="77777777" w:rsidR="00212118" w:rsidRDefault="0021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1"/>
    <w:multiLevelType w:val="hybridMultilevel"/>
    <w:tmpl w:val="B6CE9DE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0CA3D73"/>
    <w:multiLevelType w:val="hybridMultilevel"/>
    <w:tmpl w:val="DB00168A"/>
    <w:lvl w:ilvl="0" w:tplc="04090019">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74AF"/>
    <w:multiLevelType w:val="hybridMultilevel"/>
    <w:tmpl w:val="FA6EE758"/>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0A02C7F"/>
    <w:multiLevelType w:val="hybridMultilevel"/>
    <w:tmpl w:val="EEB2B156"/>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42102AF"/>
    <w:multiLevelType w:val="hybridMultilevel"/>
    <w:tmpl w:val="D0782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A12C3"/>
    <w:multiLevelType w:val="hybridMultilevel"/>
    <w:tmpl w:val="FCC26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67898"/>
    <w:multiLevelType w:val="hybridMultilevel"/>
    <w:tmpl w:val="7E948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2206E"/>
    <w:multiLevelType w:val="hybridMultilevel"/>
    <w:tmpl w:val="C64AAA68"/>
    <w:lvl w:ilvl="0" w:tplc="04090019">
      <w:start w:val="1"/>
      <w:numFmt w:val="lowerLetter"/>
      <w:lvlText w:val="%1."/>
      <w:lvlJc w:val="left"/>
      <w:pPr>
        <w:ind w:left="11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cT6TM5l7BtrlTussyC7VjPvRmtsWoHe2ThHXbqQwRM34wJ4VEMHwI4nWlzl8P0u7yxuouNIppu0pEO5ebcLaw==" w:salt="gnKSMTohOGurM39ZIKGQ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MTUxMjW1NDcxNrJU0lEKTi0uzszPAykwqwUAHWB9FywAAAA="/>
  </w:docVars>
  <w:rsids>
    <w:rsidRoot w:val="002D352E"/>
    <w:rsid w:val="00066A13"/>
    <w:rsid w:val="00131160"/>
    <w:rsid w:val="00144B00"/>
    <w:rsid w:val="00163C57"/>
    <w:rsid w:val="00212118"/>
    <w:rsid w:val="00231467"/>
    <w:rsid w:val="002D352E"/>
    <w:rsid w:val="003C4195"/>
    <w:rsid w:val="004C4AA3"/>
    <w:rsid w:val="005C41E7"/>
    <w:rsid w:val="00652E56"/>
    <w:rsid w:val="00761427"/>
    <w:rsid w:val="0076185F"/>
    <w:rsid w:val="007A230F"/>
    <w:rsid w:val="007F1FCF"/>
    <w:rsid w:val="00942F4F"/>
    <w:rsid w:val="009C55A5"/>
    <w:rsid w:val="009D0769"/>
    <w:rsid w:val="00A36FF6"/>
    <w:rsid w:val="00AA0D91"/>
    <w:rsid w:val="00AA5269"/>
    <w:rsid w:val="00B8352C"/>
    <w:rsid w:val="00B8526B"/>
    <w:rsid w:val="00B977DF"/>
    <w:rsid w:val="00BC0B4F"/>
    <w:rsid w:val="00C2769F"/>
    <w:rsid w:val="00C30EAF"/>
    <w:rsid w:val="00CD7F2F"/>
    <w:rsid w:val="00D64357"/>
    <w:rsid w:val="00DA1092"/>
    <w:rsid w:val="00DB3079"/>
    <w:rsid w:val="00DC0E9E"/>
    <w:rsid w:val="00E3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9A885"/>
  <w15:chartTrackingRefBased/>
  <w15:docId w15:val="{A90B1C97-0C89-4AF9-83F4-7083B5C0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69"/>
  </w:style>
  <w:style w:type="paragraph" w:styleId="Footer">
    <w:name w:val="footer"/>
    <w:basedOn w:val="Normal"/>
    <w:link w:val="FooterChar"/>
    <w:uiPriority w:val="99"/>
    <w:unhideWhenUsed/>
    <w:rsid w:val="00AA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69"/>
  </w:style>
  <w:style w:type="paragraph" w:styleId="BalloonText">
    <w:name w:val="Balloon Text"/>
    <w:basedOn w:val="Normal"/>
    <w:link w:val="BalloonTextChar"/>
    <w:uiPriority w:val="99"/>
    <w:semiHidden/>
    <w:unhideWhenUsed/>
    <w:rsid w:val="00AA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69"/>
    <w:rPr>
      <w:rFonts w:ascii="Segoe UI" w:hAnsi="Segoe UI" w:cs="Segoe UI"/>
      <w:sz w:val="18"/>
      <w:szCs w:val="18"/>
    </w:rPr>
  </w:style>
  <w:style w:type="character" w:styleId="Hyperlink">
    <w:name w:val="Hyperlink"/>
    <w:basedOn w:val="DefaultParagraphFont"/>
    <w:uiPriority w:val="99"/>
    <w:unhideWhenUsed/>
    <w:rsid w:val="00A36FF6"/>
    <w:rPr>
      <w:color w:val="0563C1"/>
      <w:u w:val="single"/>
    </w:rPr>
  </w:style>
  <w:style w:type="character" w:styleId="PlaceholderText">
    <w:name w:val="Placeholder Text"/>
    <w:basedOn w:val="DefaultParagraphFont"/>
    <w:uiPriority w:val="99"/>
    <w:semiHidden/>
    <w:rsid w:val="00A36FF6"/>
    <w:rPr>
      <w:color w:val="808080"/>
    </w:rPr>
  </w:style>
  <w:style w:type="paragraph" w:styleId="ListParagraph">
    <w:name w:val="List Paragraph"/>
    <w:basedOn w:val="Normal"/>
    <w:uiPriority w:val="34"/>
    <w:qFormat/>
    <w:rsid w:val="005C41E7"/>
    <w:pPr>
      <w:ind w:left="720"/>
      <w:contextualSpacing/>
    </w:pPr>
  </w:style>
  <w:style w:type="table" w:styleId="TableGrid">
    <w:name w:val="Table Grid"/>
    <w:basedOn w:val="TableNormal"/>
    <w:uiPriority w:val="39"/>
    <w:rsid w:val="00DB3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2</cp:revision>
  <cp:lastPrinted>2018-10-02T16:13:00Z</cp:lastPrinted>
  <dcterms:created xsi:type="dcterms:W3CDTF">2024-11-16T14:39:00Z</dcterms:created>
  <dcterms:modified xsi:type="dcterms:W3CDTF">2024-11-16T14:39:00Z</dcterms:modified>
</cp:coreProperties>
</file>